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行政建议书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（文号）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（当事人）姓名：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证件类型及号码：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（法人、个体工商户、非法人组织）姓名统一社会信用代码住所（地址）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（行政相对人）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（违法情形）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（法律依据名称及条、款、项具体内容）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的规定，综合考虑违法行为的事实、性质、情节、危害等因素，遵循包容审慎原则，本机关依法对（行政相对人）作出了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（不予、从轻、减轻行政处罚决定或者免予行政强制决定）。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为维护法律权威，杜绝上述违法情形的再次发生，现提出如下行政建议：</w:t>
      </w:r>
    </w:p>
    <w:p>
      <w:pPr>
        <w:numPr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（责令改正期限）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（制定整改措施）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（累犯处罚意见）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（其他建议）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逾期不改正的，本机关将视情节进行依法严肃处理。</w:t>
      </w:r>
    </w:p>
    <w:p>
      <w:pPr>
        <w:wordWrap w:val="0"/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ind w:left="5111" w:leftChars="1672" w:hanging="1600" w:hangingChars="5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四平市文化广播电视和旅游局</w:t>
      </w:r>
    </w:p>
    <w:p>
      <w:pPr>
        <w:wordWrap/>
        <w:ind w:left="5109" w:leftChars="2128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ordWrap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（本文书一式两份：一份存根，装入行政执法案卷，一份交当事人或其代理人。）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17888"/>
    <w:rsid w:val="4C2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2021-08-24T03:28:13Z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